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112E4C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 xml:space="preserve">Tenth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>
        <w:rPr>
          <w:rStyle w:val="IntenseReference"/>
          <w:sz w:val="32"/>
          <w:szCs w:val="32"/>
        </w:rPr>
        <w:t>English Language Arts</w:t>
      </w:r>
      <w:r w:rsidR="00FE2BC9" w:rsidRPr="00FE2BC9">
        <w:rPr>
          <w:rStyle w:val="IntenseReference"/>
          <w:sz w:val="32"/>
          <w:szCs w:val="32"/>
        </w:rPr>
        <w:t xml:space="preserve"> Expectations – </w:t>
      </w:r>
      <w:r w:rsidR="006579A3">
        <w:rPr>
          <w:rStyle w:val="IntenseReference"/>
          <w:sz w:val="32"/>
          <w:szCs w:val="32"/>
        </w:rPr>
        <w:t>Second</w:t>
      </w:r>
      <w:r w:rsidR="00FE2BC9" w:rsidRPr="00FE2BC9">
        <w:rPr>
          <w:rStyle w:val="IntenseReference"/>
          <w:sz w:val="32"/>
          <w:szCs w:val="32"/>
        </w:rPr>
        <w:t xml:space="preserve"> Quarter</w:t>
      </w: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</w:t>
      </w:r>
      <w:r w:rsidR="004B7E3C">
        <w:rPr>
          <w:rFonts w:ascii="Verdana" w:hAnsi="Verdana"/>
          <w:sz w:val="20"/>
          <w:szCs w:val="20"/>
        </w:rPr>
        <w:t>a new unit of study in</w:t>
      </w:r>
      <w:r w:rsidRPr="00BC7CDD">
        <w:rPr>
          <w:rFonts w:ascii="Verdana" w:hAnsi="Verdana"/>
          <w:sz w:val="20"/>
          <w:szCs w:val="20"/>
        </w:rPr>
        <w:t xml:space="preserve"> </w:t>
      </w:r>
      <w:r w:rsidR="00112E4C">
        <w:rPr>
          <w:rFonts w:ascii="Verdana" w:hAnsi="Verdana"/>
          <w:sz w:val="20"/>
          <w:szCs w:val="20"/>
        </w:rPr>
        <w:t>sophomore English Language Arts.</w:t>
      </w:r>
      <w:r w:rsidRPr="00BC7CDD">
        <w:rPr>
          <w:rFonts w:ascii="Verdana" w:hAnsi="Verdana"/>
          <w:sz w:val="20"/>
          <w:szCs w:val="20"/>
        </w:rPr>
        <w:t xml:space="preserve"> For the next several weeks, </w:t>
      </w:r>
      <w:r w:rsidR="00112E4C">
        <w:rPr>
          <w:rFonts w:ascii="Verdana" w:hAnsi="Verdana"/>
          <w:sz w:val="20"/>
          <w:szCs w:val="20"/>
        </w:rPr>
        <w:t>he or she</w:t>
      </w:r>
      <w:r w:rsidRPr="00BC7CDD">
        <w:rPr>
          <w:rFonts w:ascii="Verdana" w:hAnsi="Verdana"/>
          <w:sz w:val="20"/>
          <w:szCs w:val="20"/>
        </w:rPr>
        <w:t xml:space="preserve"> will be </w:t>
      </w:r>
      <w:r w:rsidR="00112E4C">
        <w:rPr>
          <w:rFonts w:ascii="Verdana" w:hAnsi="Verdana"/>
          <w:sz w:val="20"/>
          <w:szCs w:val="20"/>
        </w:rPr>
        <w:t>reading, discussing, and writing about several texts that explore the following essential question:</w:t>
      </w:r>
    </w:p>
    <w:p w:rsidR="00112E4C" w:rsidRPr="009C1F5D" w:rsidRDefault="00112E4C" w:rsidP="00FE2BC9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6579A3">
        <w:rPr>
          <w:rFonts w:ascii="Verdana" w:hAnsi="Verdana"/>
          <w:i/>
          <w:sz w:val="20"/>
          <w:szCs w:val="20"/>
        </w:rPr>
        <w:t>Is it a moral obligation to practice philanthropy</w:t>
      </w:r>
      <w:r w:rsidRPr="009C1F5D">
        <w:rPr>
          <w:rFonts w:ascii="Verdana" w:hAnsi="Verdana"/>
          <w:i/>
          <w:sz w:val="20"/>
          <w:szCs w:val="20"/>
        </w:rPr>
        <w:t>?</w:t>
      </w:r>
    </w:p>
    <w:p w:rsidR="006579A3" w:rsidRDefault="006579A3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 the holiday season approaches, we are excited that the topic of philanthropy (selfless giving) will be especially relevant to students. Your child will read several shorter</w:t>
      </w:r>
      <w:r w:rsidR="00112E4C">
        <w:rPr>
          <w:rFonts w:ascii="Verdana" w:hAnsi="Verdana"/>
          <w:sz w:val="20"/>
          <w:szCs w:val="20"/>
        </w:rPr>
        <w:t xml:space="preserve"> texts </w:t>
      </w:r>
      <w:r>
        <w:rPr>
          <w:rFonts w:ascii="Verdana" w:hAnsi="Verdana"/>
          <w:sz w:val="20"/>
          <w:szCs w:val="20"/>
        </w:rPr>
        <w:t xml:space="preserve">that focus on the issues surrounding philanthropy and will write an essay that makes a claim in response to the essential question and uses </w:t>
      </w:r>
      <w:r w:rsidR="004B7E3C">
        <w:rPr>
          <w:rFonts w:ascii="Verdana" w:hAnsi="Verdana"/>
          <w:sz w:val="20"/>
          <w:szCs w:val="20"/>
        </w:rPr>
        <w:t>evidence from these short texts to support his or her claim.</w:t>
      </w:r>
    </w:p>
    <w:p w:rsidR="00593B22" w:rsidRDefault="006579A3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After Thanksgiving, students will read the classic novel</w:t>
      </w:r>
      <w:r w:rsidR="004B7E3C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Pr="006579A3">
        <w:rPr>
          <w:rFonts w:ascii="Verdana" w:hAnsi="Verdana"/>
          <w:i/>
          <w:sz w:val="20"/>
          <w:szCs w:val="20"/>
        </w:rPr>
        <w:t>A Christmas Carol</w:t>
      </w:r>
      <w:r w:rsidR="004B7E3C">
        <w:rPr>
          <w:rFonts w:ascii="Verdana" w:hAnsi="Verdana"/>
          <w:i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by Charles Dickens and will practice close reading, especially analyzing the theme of the story and how the author relates that theme throughout the novel.</w:t>
      </w:r>
      <w:r w:rsidR="00A94E9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In addition</w:t>
      </w:r>
      <w:r w:rsidR="00365828">
        <w:rPr>
          <w:rFonts w:ascii="Verdana" w:hAnsi="Verdana"/>
          <w:sz w:val="20"/>
          <w:szCs w:val="20"/>
        </w:rPr>
        <w:t>, your child will select texts for independent reading and ke</w:t>
      </w:r>
      <w:r w:rsidR="004B7E3C">
        <w:rPr>
          <w:rFonts w:ascii="Verdana" w:hAnsi="Verdana"/>
          <w:sz w:val="20"/>
          <w:szCs w:val="20"/>
        </w:rPr>
        <w:t xml:space="preserve">ep a record </w:t>
      </w:r>
      <w:r w:rsidR="00365828">
        <w:rPr>
          <w:rFonts w:ascii="Verdana" w:hAnsi="Verdana"/>
          <w:sz w:val="20"/>
          <w:szCs w:val="20"/>
        </w:rPr>
        <w:t xml:space="preserve">his or her reading. It is important your child </w:t>
      </w:r>
      <w:r>
        <w:rPr>
          <w:rFonts w:ascii="Verdana" w:hAnsi="Verdana"/>
          <w:sz w:val="20"/>
          <w:szCs w:val="20"/>
        </w:rPr>
        <w:t>maintain</w:t>
      </w:r>
      <w:r w:rsidR="00365828">
        <w:rPr>
          <w:rFonts w:ascii="Verdana" w:hAnsi="Verdana"/>
          <w:sz w:val="20"/>
          <w:szCs w:val="20"/>
        </w:rPr>
        <w:t xml:space="preserve"> a regular habit of reading. </w:t>
      </w:r>
    </w:p>
    <w:p w:rsidR="00F63097" w:rsidRDefault="009C1F5D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the end of the first quarter, y</w:t>
      </w:r>
      <w:r w:rsidR="00F63097">
        <w:rPr>
          <w:rFonts w:ascii="Verdana" w:hAnsi="Verdana"/>
          <w:sz w:val="20"/>
          <w:szCs w:val="20"/>
        </w:rPr>
        <w:t xml:space="preserve">our child </w:t>
      </w:r>
      <w:r>
        <w:rPr>
          <w:rFonts w:ascii="Verdana" w:hAnsi="Verdana"/>
          <w:sz w:val="20"/>
          <w:szCs w:val="20"/>
        </w:rPr>
        <w:t>should know and be able to do the following: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C1F5D" w:rsidTr="009C1F5D">
        <w:tc>
          <w:tcPr>
            <w:tcW w:w="4788" w:type="dxa"/>
          </w:tcPr>
          <w:p w:rsidR="009C1F5D" w:rsidRPr="009C1F5D" w:rsidRDefault="00DB66F8" w:rsidP="00FE2BC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0"/>
              </w:rPr>
              <w:t>READING</w:t>
            </w:r>
          </w:p>
        </w:tc>
        <w:tc>
          <w:tcPr>
            <w:tcW w:w="4788" w:type="dxa"/>
          </w:tcPr>
          <w:p w:rsidR="009C1F5D" w:rsidRPr="00DB66F8" w:rsidRDefault="00DB66F8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DB66F8">
              <w:rPr>
                <w:rFonts w:ascii="Verdana" w:hAnsi="Verdana"/>
                <w:b/>
                <w:sz w:val="24"/>
                <w:szCs w:val="24"/>
              </w:rPr>
              <w:t>WRITING</w:t>
            </w:r>
          </w:p>
        </w:tc>
      </w:tr>
      <w:tr w:rsidR="009C1F5D" w:rsidTr="009C1F5D">
        <w:tc>
          <w:tcPr>
            <w:tcW w:w="4788" w:type="dxa"/>
          </w:tcPr>
          <w:p w:rsidR="009C1F5D" w:rsidRPr="004B7E3C" w:rsidRDefault="00A94E9B" w:rsidP="00A94E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 grade level texts closely, and e</w:t>
            </w:r>
            <w:r w:rsidRPr="004B7E3C">
              <w:rPr>
                <w:rFonts w:ascii="Verdana" w:hAnsi="Verdana"/>
                <w:sz w:val="20"/>
                <w:szCs w:val="20"/>
              </w:rPr>
              <w:t>xplain what the text says and draw inferences to deepen understanding, supporting inferences with textual evidence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and strengthen writing by planning, revising, editing, rewriting, or trying a new approach</w:t>
            </w:r>
            <w:r w:rsidR="006E5043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9C1F5D" w:rsidTr="009C1F5D">
        <w:tc>
          <w:tcPr>
            <w:tcW w:w="4788" w:type="dxa"/>
          </w:tcPr>
          <w:p w:rsidR="009C1F5D" w:rsidRPr="004B7E3C" w:rsidRDefault="00A94E9B" w:rsidP="00FE2BC9">
            <w:pPr>
              <w:rPr>
                <w:rFonts w:ascii="Verdana" w:hAnsi="Verdana"/>
                <w:sz w:val="20"/>
                <w:szCs w:val="20"/>
              </w:rPr>
            </w:pPr>
            <w:r w:rsidRPr="004B7E3C">
              <w:rPr>
                <w:rFonts w:ascii="Verdana" w:hAnsi="Verdana"/>
                <w:sz w:val="20"/>
                <w:szCs w:val="20"/>
              </w:rPr>
              <w:t>Determine a theme or central idea of a text and analyze its development.</w:t>
            </w:r>
          </w:p>
        </w:tc>
        <w:tc>
          <w:tcPr>
            <w:tcW w:w="4788" w:type="dxa"/>
          </w:tcPr>
          <w:p w:rsidR="00A94E9B" w:rsidRPr="00A94E9B" w:rsidRDefault="00A94E9B" w:rsidP="00A94E9B">
            <w:pPr>
              <w:rPr>
                <w:rFonts w:ascii="Verdana" w:hAnsi="Verdana" w:cstheme="minorHAnsi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 xml:space="preserve">Write arguments to support claims in analysis of </w:t>
            </w:r>
            <w:r w:rsidR="006E5043">
              <w:rPr>
                <w:rFonts w:ascii="Verdana" w:hAnsi="Verdana" w:cstheme="minorHAnsi"/>
                <w:sz w:val="20"/>
                <w:szCs w:val="20"/>
              </w:rPr>
              <w:t>important</w:t>
            </w:r>
            <w:r w:rsidRPr="00A94E9B">
              <w:rPr>
                <w:rFonts w:ascii="Verdana" w:hAnsi="Verdana" w:cstheme="minorHAnsi"/>
                <w:sz w:val="20"/>
                <w:szCs w:val="20"/>
              </w:rPr>
              <w:t xml:space="preserve"> topics and texts, using valid reasoning and relevant and sufficient evidence.</w:t>
            </w:r>
          </w:p>
          <w:p w:rsidR="009C1F5D" w:rsidRDefault="009C1F5D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579A3" w:rsidTr="009C1F5D">
        <w:tc>
          <w:tcPr>
            <w:tcW w:w="4788" w:type="dxa"/>
          </w:tcPr>
          <w:p w:rsidR="006579A3" w:rsidRPr="004B7E3C" w:rsidRDefault="00A94E9B" w:rsidP="006579A3">
            <w:pPr>
              <w:rPr>
                <w:rFonts w:ascii="Verdana" w:hAnsi="Verdana"/>
                <w:sz w:val="20"/>
                <w:szCs w:val="20"/>
              </w:rPr>
            </w:pPr>
            <w:r w:rsidRPr="004B7E3C">
              <w:rPr>
                <w:rFonts w:ascii="Verdana" w:hAnsi="Verdana"/>
                <w:sz w:val="20"/>
                <w:szCs w:val="20"/>
              </w:rPr>
              <w:t>Analyze how the author’s choice of words impacts the meaning and tone</w:t>
            </w:r>
          </w:p>
        </w:tc>
        <w:tc>
          <w:tcPr>
            <w:tcW w:w="4788" w:type="dxa"/>
          </w:tcPr>
          <w:p w:rsidR="006579A3" w:rsidRDefault="00A94E9B" w:rsidP="00A94E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Introduce precise claims, and distinguish claims from counterclaims.</w:t>
            </w:r>
          </w:p>
        </w:tc>
      </w:tr>
      <w:tr w:rsidR="006579A3" w:rsidTr="009C1F5D">
        <w:tc>
          <w:tcPr>
            <w:tcW w:w="4788" w:type="dxa"/>
          </w:tcPr>
          <w:p w:rsidR="006579A3" w:rsidRPr="004B7E3C" w:rsidRDefault="00A94E9B" w:rsidP="00FE2BC9">
            <w:pPr>
              <w:rPr>
                <w:rFonts w:ascii="Verdana" w:hAnsi="Verdana"/>
                <w:sz w:val="20"/>
                <w:szCs w:val="20"/>
              </w:rPr>
            </w:pPr>
            <w:r w:rsidRPr="004B7E3C">
              <w:rPr>
                <w:rFonts w:ascii="Verdana" w:eastAsia="Calibri" w:hAnsi="Verdana" w:cstheme="minorHAnsi"/>
                <w:sz w:val="20"/>
                <w:szCs w:val="20"/>
              </w:rPr>
              <w:t>Explain words and phrases as they are used in the text, including figurative and connotative meanings.</w:t>
            </w:r>
          </w:p>
        </w:tc>
        <w:tc>
          <w:tcPr>
            <w:tcW w:w="4788" w:type="dxa"/>
          </w:tcPr>
          <w:p w:rsidR="00A94E9B" w:rsidRPr="00A94E9B" w:rsidRDefault="00A94E9B" w:rsidP="00A94E9B">
            <w:pPr>
              <w:ind w:left="24"/>
              <w:rPr>
                <w:rFonts w:ascii="Verdana" w:hAnsi="Verdana" w:cstheme="minorHAnsi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>Create an organization that establishes clear relationships among claims, counterclaims, reasons, and evidence.</w:t>
            </w:r>
          </w:p>
          <w:p w:rsidR="006579A3" w:rsidRPr="00A94E9B" w:rsidRDefault="006579A3" w:rsidP="00A94E9B">
            <w:pPr>
              <w:ind w:left="24"/>
              <w:rPr>
                <w:rFonts w:ascii="Verdana" w:hAnsi="Verdana"/>
                <w:sz w:val="20"/>
                <w:szCs w:val="20"/>
              </w:rPr>
            </w:pPr>
          </w:p>
        </w:tc>
      </w:tr>
      <w:tr w:rsidR="00A94E9B" w:rsidTr="00A94E9B">
        <w:trPr>
          <w:trHeight w:val="848"/>
        </w:trPr>
        <w:tc>
          <w:tcPr>
            <w:tcW w:w="4788" w:type="dxa"/>
          </w:tcPr>
          <w:p w:rsidR="00A94E9B" w:rsidRPr="00A94E9B" w:rsidRDefault="00A94E9B" w:rsidP="00FE2BC9">
            <w:pPr>
              <w:rPr>
                <w:rFonts w:ascii="Verdana" w:hAnsi="Verdana"/>
                <w:sz w:val="20"/>
                <w:szCs w:val="20"/>
              </w:rPr>
            </w:pPr>
            <w:r w:rsidRPr="00A94E9B">
              <w:rPr>
                <w:rFonts w:ascii="Verdana" w:eastAsia="Calibri" w:hAnsi="Verdana" w:cstheme="minorHAnsi"/>
                <w:sz w:val="20"/>
                <w:szCs w:val="20"/>
              </w:rPr>
              <w:t>Determine an author’s point of view or purpose in a text and analyze how an author uses rhetoric to advance that point of view or purpose.</w:t>
            </w:r>
          </w:p>
        </w:tc>
        <w:tc>
          <w:tcPr>
            <w:tcW w:w="4788" w:type="dxa"/>
          </w:tcPr>
          <w:p w:rsidR="00A94E9B" w:rsidRPr="00A94E9B" w:rsidRDefault="00A94E9B" w:rsidP="00A94E9B">
            <w:pPr>
              <w:ind w:left="24"/>
              <w:rPr>
                <w:rFonts w:ascii="Verdana" w:hAnsi="Verdana" w:cstheme="minorHAnsi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 xml:space="preserve">Develop claim(s) and counterclaim(s) fairly, supplying evidence for each while pointing out the strengths and limitations of both. </w:t>
            </w:r>
          </w:p>
          <w:p w:rsidR="00A94E9B" w:rsidRPr="00A94E9B" w:rsidRDefault="00A94E9B" w:rsidP="006E5043">
            <w:pPr>
              <w:ind w:left="24"/>
              <w:rPr>
                <w:rFonts w:ascii="Verdana" w:hAnsi="Verdana"/>
                <w:sz w:val="20"/>
                <w:szCs w:val="20"/>
              </w:rPr>
            </w:pPr>
          </w:p>
        </w:tc>
      </w:tr>
      <w:tr w:rsidR="00A94E9B" w:rsidTr="009C1F5D">
        <w:trPr>
          <w:trHeight w:val="847"/>
        </w:trPr>
        <w:tc>
          <w:tcPr>
            <w:tcW w:w="4788" w:type="dxa"/>
          </w:tcPr>
          <w:p w:rsidR="00A94E9B" w:rsidRPr="00A94E9B" w:rsidRDefault="00A94E9B" w:rsidP="00FE2BC9">
            <w:p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4B7E3C">
              <w:rPr>
                <w:rFonts w:ascii="Verdana" w:hAnsi="Verdana"/>
                <w:sz w:val="20"/>
                <w:szCs w:val="20"/>
              </w:rPr>
              <w:t>Provide an objective summary of the text.</w:t>
            </w:r>
          </w:p>
        </w:tc>
        <w:tc>
          <w:tcPr>
            <w:tcW w:w="4788" w:type="dxa"/>
          </w:tcPr>
          <w:p w:rsidR="006E5043" w:rsidRPr="00A94E9B" w:rsidRDefault="006E5043" w:rsidP="006E5043">
            <w:pPr>
              <w:ind w:left="24"/>
              <w:rPr>
                <w:rFonts w:ascii="Verdana" w:hAnsi="Verdana" w:cstheme="minorHAnsi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 xml:space="preserve">Use words, phrases, and clauses to link major sections of text, create cohesion, and clarify relationships. </w:t>
            </w:r>
          </w:p>
          <w:p w:rsidR="00A94E9B" w:rsidRPr="00A94E9B" w:rsidRDefault="00A94E9B" w:rsidP="00A94E9B">
            <w:pPr>
              <w:ind w:left="24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6E5043" w:rsidTr="006E5043">
        <w:trPr>
          <w:trHeight w:val="608"/>
        </w:trPr>
        <w:tc>
          <w:tcPr>
            <w:tcW w:w="4788" w:type="dxa"/>
          </w:tcPr>
          <w:p w:rsidR="006E5043" w:rsidRPr="004B7E3C" w:rsidRDefault="006E5043" w:rsidP="006E5043">
            <w:pPr>
              <w:rPr>
                <w:rFonts w:ascii="Verdana" w:hAnsi="Verdana"/>
                <w:sz w:val="20"/>
                <w:szCs w:val="20"/>
              </w:rPr>
            </w:pPr>
            <w:r w:rsidRPr="00A94E9B">
              <w:rPr>
                <w:rFonts w:ascii="Verdana" w:eastAsia="Calibri" w:hAnsi="Verdana" w:cstheme="minorHAnsi"/>
                <w:sz w:val="20"/>
                <w:szCs w:val="20"/>
              </w:rPr>
              <w:t>Delineate and evaluate the argument and specific claims in a text, assessing whether the reasoning is valid and the evidence is relevant and sufficient.</w:t>
            </w:r>
          </w:p>
        </w:tc>
        <w:tc>
          <w:tcPr>
            <w:tcW w:w="4788" w:type="dxa"/>
          </w:tcPr>
          <w:p w:rsidR="006E5043" w:rsidRDefault="006E5043" w:rsidP="00FE2BC9">
            <w:pPr>
              <w:rPr>
                <w:rFonts w:ascii="Verdana" w:hAnsi="Verdana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>Provide a concluding statement or section that follows from and supports the argument presented.</w:t>
            </w:r>
          </w:p>
        </w:tc>
      </w:tr>
      <w:tr w:rsidR="006E5043" w:rsidTr="00A94E9B">
        <w:trPr>
          <w:trHeight w:val="607"/>
        </w:trPr>
        <w:tc>
          <w:tcPr>
            <w:tcW w:w="4788" w:type="dxa"/>
          </w:tcPr>
          <w:p w:rsidR="006E5043" w:rsidRPr="00A94E9B" w:rsidRDefault="006E5043" w:rsidP="00A94E9B">
            <w:pPr>
              <w:rPr>
                <w:rFonts w:ascii="Verdana" w:eastAsia="Calibri" w:hAnsi="Verdana" w:cstheme="minorHAnsi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Maintain a habit and record of regular independent reading</w:t>
            </w:r>
          </w:p>
        </w:tc>
        <w:tc>
          <w:tcPr>
            <w:tcW w:w="4788" w:type="dxa"/>
          </w:tcPr>
          <w:p w:rsidR="006E5043" w:rsidRPr="00A94E9B" w:rsidRDefault="006E5043" w:rsidP="006E5043">
            <w:pPr>
              <w:ind w:left="24"/>
              <w:rPr>
                <w:rFonts w:ascii="Verdana" w:hAnsi="Verdana" w:cstheme="minorHAnsi"/>
                <w:sz w:val="20"/>
                <w:szCs w:val="20"/>
              </w:rPr>
            </w:pPr>
            <w:r w:rsidRPr="00A94E9B">
              <w:rPr>
                <w:rFonts w:ascii="Verdana" w:hAnsi="Verdana" w:cstheme="minorHAnsi"/>
                <w:sz w:val="20"/>
                <w:szCs w:val="20"/>
              </w:rPr>
              <w:t>Establish and maintain a formal style and objective tone.</w:t>
            </w:r>
          </w:p>
          <w:p w:rsidR="006E5043" w:rsidRPr="00A94E9B" w:rsidRDefault="006E5043" w:rsidP="00FE2BC9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E465FF" w:rsidRDefault="006579A3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lastRenderedPageBreak/>
              <w:t>SPEAKING AND LISTENING</w:t>
            </w:r>
          </w:p>
        </w:tc>
        <w:tc>
          <w:tcPr>
            <w:tcW w:w="4788" w:type="dxa"/>
          </w:tcPr>
          <w:p w:rsidR="006579A3" w:rsidRPr="00E465FF" w:rsidRDefault="006579A3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t>LANGUAGE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CD525B" w:rsidRDefault="006579A3" w:rsidP="00CD525B">
            <w:pPr>
              <w:rPr>
                <w:rFonts w:ascii="Verdana" w:hAnsi="Verdana"/>
                <w:sz w:val="20"/>
                <w:szCs w:val="20"/>
              </w:rPr>
            </w:pPr>
            <w:r w:rsidRPr="000D4923">
              <w:rPr>
                <w:rFonts w:ascii="Verdana" w:hAnsi="Verdana"/>
                <w:sz w:val="20"/>
                <w:szCs w:val="20"/>
              </w:rPr>
              <w:t>Participate in a range of text-centered discussions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:rsidR="006579A3" w:rsidRDefault="006579A3" w:rsidP="00FE2BC9">
            <w:pPr>
              <w:rPr>
                <w:rFonts w:ascii="Verdana" w:hAnsi="Verdana"/>
                <w:sz w:val="20"/>
                <w:szCs w:val="20"/>
              </w:rPr>
            </w:pPr>
            <w:r w:rsidRPr="0045735D">
              <w:rPr>
                <w:rFonts w:ascii="Verdana" w:hAnsi="Verdana"/>
                <w:sz w:val="20"/>
                <w:szCs w:val="20"/>
              </w:rPr>
              <w:t>Use standard English conventions</w:t>
            </w:r>
            <w:r>
              <w:rPr>
                <w:rFonts w:ascii="Verdana" w:hAnsi="Verdana"/>
                <w:sz w:val="20"/>
                <w:szCs w:val="20"/>
              </w:rPr>
              <w:t xml:space="preserve"> of grammar and usage.</w:t>
            </w:r>
          </w:p>
          <w:p w:rsidR="006579A3" w:rsidRDefault="006579A3" w:rsidP="006E504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Use </w:t>
            </w:r>
            <w:r w:rsidR="006E5043">
              <w:rPr>
                <w:rFonts w:ascii="Verdana" w:hAnsi="Verdana"/>
                <w:sz w:val="20"/>
                <w:szCs w:val="20"/>
              </w:rPr>
              <w:t>verbal phrases: gerund, participial, and infinitive phrases.</w:t>
            </w:r>
          </w:p>
          <w:p w:rsidR="006E5043" w:rsidRPr="000B221D" w:rsidRDefault="006E5043" w:rsidP="006E5043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adverb clauses.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823BF4" w:rsidRDefault="006579A3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Come to discussions prepared, having read and researched materials under study</w:t>
            </w:r>
          </w:p>
        </w:tc>
        <w:tc>
          <w:tcPr>
            <w:tcW w:w="4788" w:type="dxa"/>
          </w:tcPr>
          <w:p w:rsidR="006579A3" w:rsidRPr="00823BF4" w:rsidRDefault="006579A3" w:rsidP="00FE2BC9">
            <w:pPr>
              <w:rPr>
                <w:rFonts w:ascii="Verdana" w:hAnsi="Verdana"/>
                <w:sz w:val="20"/>
                <w:szCs w:val="20"/>
              </w:rPr>
            </w:pPr>
            <w:r w:rsidRPr="00823BF4">
              <w:rPr>
                <w:rFonts w:ascii="Verdana" w:hAnsi="Verdana"/>
                <w:sz w:val="20"/>
                <w:szCs w:val="20"/>
              </w:rPr>
              <w:t xml:space="preserve">Use </w:t>
            </w:r>
            <w:r>
              <w:rPr>
                <w:rFonts w:ascii="Verdana" w:hAnsi="Verdana"/>
                <w:sz w:val="20"/>
                <w:szCs w:val="20"/>
              </w:rPr>
              <w:t>standard English capitalization, punctuation, and spelling: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823BF4" w:rsidRDefault="006579A3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Refer to specific parts of the text</w:t>
            </w:r>
          </w:p>
        </w:tc>
        <w:tc>
          <w:tcPr>
            <w:tcW w:w="4788" w:type="dxa"/>
          </w:tcPr>
          <w:p w:rsidR="006579A3" w:rsidRPr="00823BF4" w:rsidRDefault="006E5043" w:rsidP="006E504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 comma to set off introductory elements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823BF4" w:rsidRDefault="006579A3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Pose and respond to questions</w:t>
            </w:r>
          </w:p>
        </w:tc>
        <w:tc>
          <w:tcPr>
            <w:tcW w:w="4788" w:type="dxa"/>
          </w:tcPr>
          <w:p w:rsidR="006579A3" w:rsidRPr="00823BF4" w:rsidRDefault="006E5043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Punctuate quoted material (comma to set off quoted material; end punctuation of quotation; single and double quotation marks)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823BF4" w:rsidRDefault="006E5043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Clarify, verify, and challenge ideas and conclusions</w:t>
            </w:r>
          </w:p>
        </w:tc>
        <w:tc>
          <w:tcPr>
            <w:tcW w:w="4788" w:type="dxa"/>
          </w:tcPr>
          <w:p w:rsidR="006579A3" w:rsidRPr="00823BF4" w:rsidRDefault="006579A3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Determine the meaning of unknown words: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CD525B" w:rsidRDefault="006579A3" w:rsidP="00CD525B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CD525B">
              <w:rPr>
                <w:rFonts w:ascii="Verdana" w:hAnsi="Verdana"/>
                <w:sz w:val="20"/>
                <w:szCs w:val="20"/>
              </w:rPr>
              <w:t>Actively incorporate others in discussion</w:t>
            </w:r>
          </w:p>
        </w:tc>
        <w:tc>
          <w:tcPr>
            <w:tcW w:w="4788" w:type="dxa"/>
          </w:tcPr>
          <w:p w:rsidR="006579A3" w:rsidRPr="00823BF4" w:rsidRDefault="006579A3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context clues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0D4B00" w:rsidRDefault="006579A3" w:rsidP="000D4B0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Participate in collaborative discussions and tasks:</w:t>
            </w:r>
          </w:p>
        </w:tc>
        <w:tc>
          <w:tcPr>
            <w:tcW w:w="4788" w:type="dxa"/>
          </w:tcPr>
          <w:p w:rsidR="006579A3" w:rsidRPr="00823BF4" w:rsidRDefault="006579A3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appropriate references (print/digital) to determine meaning and word origin.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823BF4" w:rsidRDefault="006579A3" w:rsidP="00CD525B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Set rules for respectful discussions and decision-making</w:t>
            </w:r>
          </w:p>
        </w:tc>
        <w:tc>
          <w:tcPr>
            <w:tcW w:w="4788" w:type="dxa"/>
          </w:tcPr>
          <w:p w:rsidR="006579A3" w:rsidRPr="00823BF4" w:rsidRDefault="006579A3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Analyze the role of figurative language (simile and metaphor) in a text and explain how it impacts meaning</w:t>
            </w:r>
            <w:r w:rsidR="006E5043">
              <w:rPr>
                <w:rFonts w:ascii="Verdana" w:hAnsi="Verdana"/>
                <w:sz w:val="20"/>
                <w:szCs w:val="24"/>
              </w:rPr>
              <w:t>, and explain nuances in meaning of words with similar denotations.</w:t>
            </w:r>
          </w:p>
        </w:tc>
      </w:tr>
      <w:tr w:rsidR="006579A3" w:rsidTr="00E465FF">
        <w:trPr>
          <w:trHeight w:val="377"/>
        </w:trPr>
        <w:tc>
          <w:tcPr>
            <w:tcW w:w="4788" w:type="dxa"/>
          </w:tcPr>
          <w:p w:rsidR="006579A3" w:rsidRPr="000D4B00" w:rsidRDefault="006579A3" w:rsidP="000D4B00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 with peers to set clear goals and deadlines and individual roles as needed</w:t>
            </w:r>
          </w:p>
        </w:tc>
        <w:tc>
          <w:tcPr>
            <w:tcW w:w="4788" w:type="dxa"/>
          </w:tcPr>
          <w:p w:rsidR="006579A3" w:rsidRPr="00CA7F2B" w:rsidRDefault="006579A3" w:rsidP="00CA7F2B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general academic vocabulary in reading, writing, speaking, and listening for comprehension.</w:t>
            </w:r>
          </w:p>
        </w:tc>
      </w:tr>
    </w:tbl>
    <w:p w:rsidR="009C1F5D" w:rsidRDefault="009C1F5D" w:rsidP="00FE2BC9">
      <w:pPr>
        <w:rPr>
          <w:rFonts w:ascii="Verdana" w:hAnsi="Verdana"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A94E9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21"/>
    <w:multiLevelType w:val="hybridMultilevel"/>
    <w:tmpl w:val="A6E07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435FB"/>
    <w:multiLevelType w:val="hybridMultilevel"/>
    <w:tmpl w:val="4484E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B37BFA"/>
    <w:multiLevelType w:val="hybridMultilevel"/>
    <w:tmpl w:val="F370B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FF2BBB"/>
    <w:multiLevelType w:val="hybridMultilevel"/>
    <w:tmpl w:val="BBD8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B221D"/>
    <w:rsid w:val="000C3D5B"/>
    <w:rsid w:val="000D4923"/>
    <w:rsid w:val="000D4B00"/>
    <w:rsid w:val="00112E4C"/>
    <w:rsid w:val="00204CDA"/>
    <w:rsid w:val="00365828"/>
    <w:rsid w:val="003F2FAD"/>
    <w:rsid w:val="0045735D"/>
    <w:rsid w:val="004B7E3C"/>
    <w:rsid w:val="004E316E"/>
    <w:rsid w:val="00593B22"/>
    <w:rsid w:val="005F2C1A"/>
    <w:rsid w:val="006579A3"/>
    <w:rsid w:val="006E5043"/>
    <w:rsid w:val="00763E4D"/>
    <w:rsid w:val="007D0B22"/>
    <w:rsid w:val="00823BF4"/>
    <w:rsid w:val="00884EC7"/>
    <w:rsid w:val="00931DCB"/>
    <w:rsid w:val="009C1F5D"/>
    <w:rsid w:val="009E41C0"/>
    <w:rsid w:val="00A94E9B"/>
    <w:rsid w:val="00BC7CDD"/>
    <w:rsid w:val="00C62847"/>
    <w:rsid w:val="00CA7F2B"/>
    <w:rsid w:val="00CD4AEF"/>
    <w:rsid w:val="00CD525B"/>
    <w:rsid w:val="00DA5CA6"/>
    <w:rsid w:val="00DB66F8"/>
    <w:rsid w:val="00DB7837"/>
    <w:rsid w:val="00E465FF"/>
    <w:rsid w:val="00EE3078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D4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2</cp:revision>
  <cp:lastPrinted>2012-08-13T20:52:00Z</cp:lastPrinted>
  <dcterms:created xsi:type="dcterms:W3CDTF">2012-10-26T17:56:00Z</dcterms:created>
  <dcterms:modified xsi:type="dcterms:W3CDTF">2012-10-26T17:56:00Z</dcterms:modified>
</cp:coreProperties>
</file>